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5C33" w14:textId="70419CE1" w:rsidR="004E10E3" w:rsidRPr="00BF4DB0" w:rsidRDefault="004E10E3" w:rsidP="004E10E3">
      <w:pPr>
        <w:spacing w:line="560" w:lineRule="exact"/>
        <w:ind w:firstLineChars="200" w:firstLine="720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 w:rsidRPr="00BF4DB0">
        <w:rPr>
          <w:rFonts w:ascii="华文中宋" w:eastAsia="华文中宋" w:hAnsi="华文中宋" w:cs="华文中宋" w:hint="eastAsia"/>
          <w:sz w:val="36"/>
          <w:szCs w:val="36"/>
        </w:rPr>
        <w:t>重庆移通学院</w:t>
      </w:r>
      <w:r w:rsidR="004465C3">
        <w:rPr>
          <w:rFonts w:ascii="华文中宋" w:eastAsia="华文中宋" w:hAnsi="华文中宋" w:cs="华文中宋" w:hint="eastAsia"/>
          <w:sz w:val="36"/>
          <w:szCs w:val="36"/>
        </w:rPr>
        <w:t>（合川校区）</w:t>
      </w:r>
    </w:p>
    <w:p w14:paraId="4B7AD935" w14:textId="51D22BFB" w:rsidR="004E10E3" w:rsidRPr="00BF4DB0" w:rsidRDefault="004E10E3" w:rsidP="004465C3">
      <w:pPr>
        <w:spacing w:line="560" w:lineRule="exact"/>
        <w:ind w:firstLineChars="200" w:firstLine="720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 w:rsidRPr="00BF4DB0">
        <w:rPr>
          <w:rFonts w:ascii="华文中宋" w:eastAsia="华文中宋" w:hAnsi="华文中宋" w:cs="华文中宋" w:hint="eastAsia"/>
          <w:sz w:val="36"/>
          <w:szCs w:val="36"/>
        </w:rPr>
        <w:t>关于</w:t>
      </w:r>
      <w:r w:rsidR="004465C3">
        <w:rPr>
          <w:rFonts w:ascii="华文中宋" w:eastAsia="华文中宋" w:hAnsi="华文中宋" w:cs="华文中宋" w:hint="eastAsia"/>
          <w:sz w:val="36"/>
          <w:szCs w:val="36"/>
        </w:rPr>
        <w:t>进一步优化</w:t>
      </w:r>
      <w:r w:rsidRPr="00BF4DB0">
        <w:rPr>
          <w:rFonts w:ascii="华文中宋" w:eastAsia="华文中宋" w:hAnsi="华文中宋" w:cs="华文中宋" w:hint="eastAsia"/>
          <w:sz w:val="36"/>
          <w:szCs w:val="36"/>
        </w:rPr>
        <w:t>全生异科导</w:t>
      </w:r>
      <w:r w:rsidR="004465C3">
        <w:rPr>
          <w:rFonts w:ascii="华文中宋" w:eastAsia="华文中宋" w:hAnsi="华文中宋" w:cs="华文中宋" w:hint="eastAsia"/>
          <w:sz w:val="36"/>
          <w:szCs w:val="36"/>
        </w:rPr>
        <w:t>制工作</w:t>
      </w:r>
      <w:r w:rsidRPr="00BF4DB0">
        <w:rPr>
          <w:rFonts w:ascii="华文中宋" w:eastAsia="华文中宋" w:hAnsi="华文中宋" w:cs="华文中宋" w:hint="eastAsia"/>
          <w:sz w:val="36"/>
          <w:szCs w:val="36"/>
        </w:rPr>
        <w:t>的通知</w:t>
      </w:r>
    </w:p>
    <w:p w14:paraId="42EBA770" w14:textId="77777777" w:rsidR="004E10E3" w:rsidRPr="004E10E3" w:rsidRDefault="004E10E3" w:rsidP="004E10E3">
      <w:pPr>
        <w:spacing w:line="560" w:lineRule="exact"/>
        <w:ind w:firstLineChars="200" w:firstLine="560"/>
        <w:rPr>
          <w:rFonts w:ascii="仿宋" w:eastAsia="仿宋" w:hAnsi="仿宋" w:cs="华文中宋" w:hint="eastAsia"/>
          <w:sz w:val="28"/>
          <w:szCs w:val="28"/>
        </w:rPr>
      </w:pPr>
    </w:p>
    <w:p w14:paraId="65833DB7" w14:textId="77777777" w:rsidR="004E10E3" w:rsidRPr="00FB14EB" w:rsidRDefault="004E10E3" w:rsidP="004E10E3">
      <w:pPr>
        <w:spacing w:line="560" w:lineRule="exact"/>
        <w:rPr>
          <w:rFonts w:ascii="仿宋" w:eastAsia="仿宋" w:hAnsi="仿宋" w:cs="华文中宋" w:hint="eastAsia"/>
          <w:sz w:val="28"/>
          <w:szCs w:val="28"/>
        </w:rPr>
      </w:pPr>
      <w:r w:rsidRPr="00FB14EB">
        <w:rPr>
          <w:rFonts w:ascii="仿宋" w:eastAsia="仿宋" w:hAnsi="仿宋" w:cs="华文中宋" w:hint="eastAsia"/>
          <w:sz w:val="28"/>
          <w:szCs w:val="28"/>
        </w:rPr>
        <w:t>各部门、各单位：</w:t>
      </w:r>
    </w:p>
    <w:p w14:paraId="76E38100" w14:textId="77777777" w:rsidR="004E10E3" w:rsidRPr="00FB14EB" w:rsidRDefault="004E10E3" w:rsidP="004E10E3">
      <w:pPr>
        <w:spacing w:line="56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FB14EB">
        <w:rPr>
          <w:rFonts w:ascii="仿宋" w:eastAsia="仿宋" w:hAnsi="仿宋" w:cs="仿宋_GB2312" w:hint="eastAsia"/>
          <w:sz w:val="28"/>
          <w:szCs w:val="28"/>
        </w:rPr>
        <w:t>为进一步激发全生异科导师的工作活力，充分发挥其在“四位一体双院制”人才体系中的基础性、关键性作用。彰显全生异科导师制作为学校特色发展的牵引效用，更好地促进双院联动，提升人才培养质量，特进行全生异科导师制有关工作安排的调整。旨在通过一系列优化举措，为学生提供更加全面、深入的指导，加强各二级学院全生异科导师队伍的管理与考核，形成良性循环，推动学校教育教学工作、人才培养质量迈上新台阶。</w:t>
      </w:r>
    </w:p>
    <w:p w14:paraId="10D8CFF1" w14:textId="77777777" w:rsidR="004E10E3" w:rsidRPr="00FB14EB" w:rsidRDefault="004E10E3" w:rsidP="004E10E3">
      <w:pPr>
        <w:spacing w:line="560" w:lineRule="exact"/>
        <w:ind w:firstLineChars="200" w:firstLine="562"/>
        <w:rPr>
          <w:rFonts w:ascii="黑体" w:eastAsia="黑体" w:hAnsi="黑体" w:cs="仿宋_GB2312" w:hint="eastAsia"/>
          <w:b/>
          <w:bCs/>
          <w:sz w:val="28"/>
          <w:szCs w:val="28"/>
        </w:rPr>
      </w:pPr>
      <w:r w:rsidRPr="00FB14EB">
        <w:rPr>
          <w:rFonts w:ascii="黑体" w:eastAsia="黑体" w:hAnsi="黑体" w:cs="仿宋_GB2312" w:hint="eastAsia"/>
          <w:b/>
          <w:bCs/>
          <w:sz w:val="28"/>
          <w:szCs w:val="28"/>
        </w:rPr>
        <w:t>一、总体考虑</w:t>
      </w:r>
    </w:p>
    <w:p w14:paraId="68AE1C9A" w14:textId="77777777" w:rsidR="004E10E3" w:rsidRPr="00FB14EB" w:rsidRDefault="004E10E3" w:rsidP="004E10E3">
      <w:pPr>
        <w:spacing w:line="56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FB14EB">
        <w:rPr>
          <w:rFonts w:ascii="仿宋" w:eastAsia="仿宋" w:hAnsi="仿宋" w:cs="仿宋_GB2312" w:hint="eastAsia"/>
          <w:sz w:val="28"/>
          <w:szCs w:val="28"/>
        </w:rPr>
        <w:t>鼓励优秀且有意愿的全生异科导师多带学生，控制乃至缩减表现一般且效果不显著的全生异科导师带学生数，实现“能者多劳、多劳多得、能上能下、能进能出”的配给生态；固化、健全和明确全生异科导师聘期内的过程考核、抽查及淘汰机制，实现动态监控、时时评价、注重效果的工作生态。</w:t>
      </w:r>
    </w:p>
    <w:p w14:paraId="7A8C27CB" w14:textId="77777777" w:rsidR="004E10E3" w:rsidRPr="00FB14EB" w:rsidRDefault="004E10E3" w:rsidP="004E10E3">
      <w:pPr>
        <w:spacing w:line="560" w:lineRule="exact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 w:rsidRPr="00FB14EB">
        <w:rPr>
          <w:rFonts w:ascii="黑体" w:eastAsia="黑体" w:hAnsi="黑体" w:cs="仿宋_GB2312" w:hint="eastAsia"/>
          <w:sz w:val="28"/>
          <w:szCs w:val="28"/>
        </w:rPr>
        <w:t>二、具体安排</w:t>
      </w:r>
    </w:p>
    <w:p w14:paraId="6DDF8D81" w14:textId="77777777" w:rsidR="004E10E3" w:rsidRPr="00FB14EB" w:rsidRDefault="004E10E3" w:rsidP="004E10E3">
      <w:pPr>
        <w:spacing w:line="560" w:lineRule="exact"/>
        <w:ind w:firstLineChars="200" w:firstLine="562"/>
        <w:rPr>
          <w:rFonts w:ascii="仿宋" w:eastAsia="仿宋" w:hAnsi="仿宋" w:cs="黑体" w:hint="eastAsia"/>
          <w:b/>
          <w:bCs/>
          <w:sz w:val="28"/>
          <w:szCs w:val="28"/>
        </w:rPr>
      </w:pPr>
      <w:r w:rsidRPr="00FB14EB">
        <w:rPr>
          <w:rFonts w:ascii="仿宋" w:eastAsia="仿宋" w:hAnsi="仿宋" w:cs="黑体" w:hint="eastAsia"/>
          <w:b/>
          <w:bCs/>
          <w:sz w:val="28"/>
          <w:szCs w:val="28"/>
        </w:rPr>
        <w:t>（一）能者多劳，学生基数分档</w:t>
      </w:r>
    </w:p>
    <w:p w14:paraId="34448A52" w14:textId="77777777" w:rsidR="004E10E3" w:rsidRPr="00FB14EB" w:rsidRDefault="004E10E3" w:rsidP="004E10E3">
      <w:pPr>
        <w:spacing w:line="56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FB14EB">
        <w:rPr>
          <w:rFonts w:ascii="仿宋" w:eastAsia="仿宋" w:hAnsi="仿宋" w:cs="仿宋_GB2312" w:hint="eastAsia"/>
          <w:sz w:val="28"/>
          <w:szCs w:val="28"/>
        </w:rPr>
        <w:t>从2025年秋季学期全生异科导师遴选工作开始，每一年新生入学分配导师时按“能者多劳”的原则，鼓励优秀、有意愿的导师多带学生。</w:t>
      </w:r>
    </w:p>
    <w:p w14:paraId="447B3A64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考核异科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</w:t>
      </w:r>
      <w:r>
        <w:rPr>
          <w:rFonts w:ascii="仿宋" w:eastAsia="仿宋" w:hAnsi="仿宋" w:cs="仿宋" w:hint="eastAsia"/>
          <w:kern w:val="0"/>
          <w:sz w:val="28"/>
          <w:szCs w:val="28"/>
        </w:rPr>
        <w:t>以所带学生毕业为一个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完整周期</w:t>
      </w:r>
      <w:r w:rsidRPr="00850729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（本科四年、专升本两年）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Pr="002D26ED">
        <w:rPr>
          <w:rFonts w:ascii="仿宋" w:eastAsia="仿宋" w:hAnsi="仿宋" w:cs="仿宋"/>
          <w:kern w:val="0"/>
          <w:sz w:val="28"/>
          <w:szCs w:val="28"/>
        </w:rPr>
        <w:t>考核周期内，综合考量，末位淘汰，对其他批次确有不配合，不合格者，学院可提交材料，</w:t>
      </w:r>
      <w:r>
        <w:rPr>
          <w:rFonts w:ascii="仿宋" w:eastAsia="仿宋" w:hAnsi="仿宋" w:cs="仿宋" w:hint="eastAsia"/>
          <w:kern w:val="0"/>
          <w:sz w:val="28"/>
          <w:szCs w:val="28"/>
        </w:rPr>
        <w:t>最终</w:t>
      </w:r>
      <w:r w:rsidRPr="002D26ED">
        <w:rPr>
          <w:rFonts w:ascii="仿宋" w:eastAsia="仿宋" w:hAnsi="仿宋" w:cs="仿宋"/>
          <w:kern w:val="0"/>
          <w:sz w:val="28"/>
          <w:szCs w:val="28"/>
        </w:rPr>
        <w:t>由</w:t>
      </w:r>
      <w:r>
        <w:rPr>
          <w:rFonts w:ascii="仿宋" w:eastAsia="仿宋" w:hAnsi="仿宋" w:cs="仿宋" w:hint="eastAsia"/>
          <w:kern w:val="0"/>
          <w:sz w:val="28"/>
          <w:szCs w:val="28"/>
        </w:rPr>
        <w:t>全生异科导师</w:t>
      </w:r>
      <w:r w:rsidRPr="002D26ED">
        <w:rPr>
          <w:rFonts w:ascii="仿宋" w:eastAsia="仿宋" w:hAnsi="仿宋" w:cs="仿宋"/>
          <w:kern w:val="0"/>
          <w:sz w:val="28"/>
          <w:szCs w:val="28"/>
        </w:rPr>
        <w:t>综合办公室审核优化。</w:t>
      </w:r>
    </w:p>
    <w:p w14:paraId="467BD68F" w14:textId="1744D1BC" w:rsidR="004E10E3" w:rsidRPr="00A84B2E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kern w:val="0"/>
          <w:sz w:val="28"/>
          <w:szCs w:val="28"/>
        </w:rPr>
      </w:pPr>
      <w:r w:rsidRPr="00C8389B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A档：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对于表现突出、工作成绩显著的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导师，上一周期总体评价分数在各学院前10%的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导师，给予较高档次的学生基数，以资鼓励。原则上所带人数不超过两个班级，但35人以上的学生人头津贴按50%发放。</w:t>
      </w:r>
    </w:p>
    <w:p w14:paraId="17E309B0" w14:textId="77777777" w:rsidR="004E10E3" w:rsidRPr="00067AD5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kern w:val="0"/>
          <w:sz w:val="28"/>
          <w:szCs w:val="28"/>
        </w:rPr>
      </w:pPr>
      <w:r w:rsidRPr="00C8389B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B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档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：对于表现良好的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导师，上一周期总体评价分数在各学院10%-</w:t>
      </w:r>
      <w:r>
        <w:rPr>
          <w:rFonts w:ascii="仿宋" w:eastAsia="仿宋" w:hAnsi="仿宋" w:cs="仿宋" w:hint="eastAsia"/>
          <w:kern w:val="0"/>
          <w:sz w:val="28"/>
          <w:szCs w:val="28"/>
        </w:rPr>
        <w:t>8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0%之间的导师。给予中等档次的学生基数，保持其积极性。所带学生原则上维持在35人左右。</w:t>
      </w:r>
      <w:r w:rsidRPr="00850729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(参考二大点2小点的实际情况考虑是否续聘)</w:t>
      </w:r>
    </w:p>
    <w:p w14:paraId="7BF76154" w14:textId="3D7215C7" w:rsidR="004E10E3" w:rsidRPr="00067AD5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kern w:val="0"/>
          <w:sz w:val="28"/>
          <w:szCs w:val="28"/>
        </w:rPr>
      </w:pPr>
      <w:r w:rsidRPr="00C8389B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C档：</w:t>
      </w:r>
      <w:r w:rsidR="00E27A44" w:rsidRPr="00E27A44">
        <w:rPr>
          <w:rFonts w:ascii="仿宋" w:eastAsia="仿宋" w:hAnsi="仿宋" w:cs="仿宋"/>
          <w:kern w:val="0"/>
          <w:sz w:val="28"/>
          <w:szCs w:val="28"/>
        </w:rPr>
        <w:t>对于总体评价分数在各学院排名末尾20%以下（不包含20%）的，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两年内不再续聘。</w:t>
      </w:r>
    </w:p>
    <w:p w14:paraId="5C5DBCCA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在上述安排基础上，再根据新生数量及实际情况，从各部门各单位遴选教师新加入全生异科导师队伍，遴选主要依据为上一学年</w:t>
      </w:r>
      <w:r>
        <w:rPr>
          <w:rFonts w:ascii="仿宋" w:eastAsia="仿宋" w:hAnsi="仿宋" w:cs="仿宋" w:hint="eastAsia"/>
          <w:kern w:val="0"/>
          <w:sz w:val="28"/>
          <w:szCs w:val="28"/>
        </w:rPr>
        <w:t>在原单位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绩效考核成绩及日常师生互动表现。新加入导师队伍的教师所带学生基础控制在35人以内。</w:t>
      </w:r>
    </w:p>
    <w:p w14:paraId="1320732B" w14:textId="77777777" w:rsidR="004E10E3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为确保学生成长的连续性和稳定性，学生全学程无特殊情况不更换导师。</w:t>
      </w:r>
    </w:p>
    <w:p w14:paraId="5EEEEDAB" w14:textId="2427334D" w:rsidR="004E10E3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（二）各学院导师优化</w:t>
      </w:r>
      <w:r w:rsidR="0092174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名额分配</w:t>
      </w:r>
    </w:p>
    <w:tbl>
      <w:tblPr>
        <w:tblStyle w:val="af3"/>
        <w:tblW w:w="9039" w:type="dxa"/>
        <w:tblLook w:val="04A0" w:firstRow="1" w:lastRow="0" w:firstColumn="1" w:lastColumn="0" w:noHBand="0" w:noVBand="1"/>
      </w:tblPr>
      <w:tblGrid>
        <w:gridCol w:w="846"/>
        <w:gridCol w:w="2835"/>
        <w:gridCol w:w="2239"/>
        <w:gridCol w:w="1701"/>
        <w:gridCol w:w="1418"/>
      </w:tblGrid>
      <w:tr w:rsidR="004E10E3" w14:paraId="2CF393D3" w14:textId="77777777" w:rsidTr="00A908AB">
        <w:trPr>
          <w:trHeight w:val="580"/>
        </w:trPr>
        <w:tc>
          <w:tcPr>
            <w:tcW w:w="846" w:type="dxa"/>
          </w:tcPr>
          <w:p w14:paraId="0F20AA0B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14:paraId="73281134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学院名称</w:t>
            </w:r>
          </w:p>
        </w:tc>
        <w:tc>
          <w:tcPr>
            <w:tcW w:w="2239" w:type="dxa"/>
          </w:tcPr>
          <w:p w14:paraId="6328F458" w14:textId="1E3BBC6C" w:rsidR="004E10E3" w:rsidRDefault="00A908A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符合优化导师数</w:t>
            </w:r>
          </w:p>
        </w:tc>
        <w:tc>
          <w:tcPr>
            <w:tcW w:w="1701" w:type="dxa"/>
          </w:tcPr>
          <w:p w14:paraId="3532C8EF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拟优化名额</w:t>
            </w:r>
          </w:p>
        </w:tc>
        <w:tc>
          <w:tcPr>
            <w:tcW w:w="1418" w:type="dxa"/>
          </w:tcPr>
          <w:p w14:paraId="7853410D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 注</w:t>
            </w:r>
          </w:p>
        </w:tc>
      </w:tr>
      <w:tr w:rsidR="004E10E3" w14:paraId="5F4AF154" w14:textId="77777777" w:rsidTr="00A908AB">
        <w:tc>
          <w:tcPr>
            <w:tcW w:w="846" w:type="dxa"/>
          </w:tcPr>
          <w:p w14:paraId="177AC21F" w14:textId="77777777" w:rsidR="004E10E3" w:rsidRDefault="004E10E3" w:rsidP="001E59A6">
            <w:pPr>
              <w:spacing w:line="48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B75E924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数字经济商学院</w:t>
            </w:r>
          </w:p>
        </w:tc>
        <w:tc>
          <w:tcPr>
            <w:tcW w:w="2239" w:type="dxa"/>
          </w:tcPr>
          <w:p w14:paraId="557DE7AA" w14:textId="6536A41E" w:rsidR="004E10E3" w:rsidRDefault="00A908A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14:paraId="5A2D3993" w14:textId="1B32339C" w:rsidR="004E10E3" w:rsidRDefault="003F35E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14:paraId="1406ADEC" w14:textId="77777777" w:rsidR="004E10E3" w:rsidRDefault="004E10E3" w:rsidP="00BF4DB0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F4DB0">
              <w:rPr>
                <w:rFonts w:ascii="仿宋" w:eastAsia="仿宋" w:hAnsi="仿宋" w:hint="eastAsia"/>
                <w:sz w:val="28"/>
                <w:szCs w:val="28"/>
              </w:rPr>
              <w:t>各学院根据学院总异科导师人数，按照</w:t>
            </w:r>
            <w:r w:rsidRPr="00BF4DB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20%</w:t>
            </w:r>
            <w:r w:rsidRPr="00BF4DB0">
              <w:rPr>
                <w:rFonts w:ascii="仿宋" w:eastAsia="仿宋" w:hAnsi="仿宋" w:cs="仿宋" w:hint="eastAsia"/>
                <w:sz w:val="28"/>
                <w:szCs w:val="28"/>
              </w:rPr>
              <w:t>进行优化。</w:t>
            </w:r>
          </w:p>
        </w:tc>
      </w:tr>
      <w:tr w:rsidR="004E10E3" w14:paraId="3B311645" w14:textId="77777777" w:rsidTr="00A908AB">
        <w:tc>
          <w:tcPr>
            <w:tcW w:w="846" w:type="dxa"/>
          </w:tcPr>
          <w:p w14:paraId="5918FF00" w14:textId="77777777" w:rsidR="004E10E3" w:rsidRDefault="004E10E3" w:rsidP="001E59A6">
            <w:pPr>
              <w:spacing w:line="48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EFB9AE3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淬炼商学院</w:t>
            </w:r>
          </w:p>
        </w:tc>
        <w:tc>
          <w:tcPr>
            <w:tcW w:w="2239" w:type="dxa"/>
          </w:tcPr>
          <w:p w14:paraId="0571C1EC" w14:textId="41DB49F8" w:rsidR="004E10E3" w:rsidRDefault="00A908A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78292AD6" w14:textId="4AFFDDEA" w:rsidR="004E10E3" w:rsidRDefault="003F35E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418" w:type="dxa"/>
            <w:vMerge/>
          </w:tcPr>
          <w:p w14:paraId="5E5D451B" w14:textId="77777777" w:rsidR="004E10E3" w:rsidRDefault="004E10E3" w:rsidP="001E59A6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E10E3" w14:paraId="0E2C8BDB" w14:textId="77777777" w:rsidTr="00A908AB">
        <w:trPr>
          <w:trHeight w:val="395"/>
        </w:trPr>
        <w:tc>
          <w:tcPr>
            <w:tcW w:w="846" w:type="dxa"/>
          </w:tcPr>
          <w:p w14:paraId="65301966" w14:textId="77777777" w:rsidR="004E10E3" w:rsidRDefault="004E10E3" w:rsidP="001E59A6">
            <w:pPr>
              <w:spacing w:line="48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14B5113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外国语学院</w:t>
            </w:r>
          </w:p>
        </w:tc>
        <w:tc>
          <w:tcPr>
            <w:tcW w:w="2239" w:type="dxa"/>
          </w:tcPr>
          <w:p w14:paraId="4171F269" w14:textId="545B7E89" w:rsidR="004E10E3" w:rsidRDefault="00A908A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4B6D7BF0" w14:textId="54F13066" w:rsidR="004E10E3" w:rsidRDefault="003F35E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Merge/>
          </w:tcPr>
          <w:p w14:paraId="42388AAB" w14:textId="77777777" w:rsidR="004E10E3" w:rsidRDefault="004E10E3" w:rsidP="001E59A6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E10E3" w14:paraId="6B8D2BF3" w14:textId="77777777" w:rsidTr="00A908AB">
        <w:tc>
          <w:tcPr>
            <w:tcW w:w="846" w:type="dxa"/>
          </w:tcPr>
          <w:p w14:paraId="5DFDF9D8" w14:textId="77777777" w:rsidR="004E10E3" w:rsidRDefault="004E10E3" w:rsidP="001E59A6">
            <w:pPr>
              <w:spacing w:line="48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366B087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艺术传媒学院</w:t>
            </w:r>
          </w:p>
        </w:tc>
        <w:tc>
          <w:tcPr>
            <w:tcW w:w="2239" w:type="dxa"/>
          </w:tcPr>
          <w:p w14:paraId="458F1BCF" w14:textId="4AE454CA" w:rsidR="004E10E3" w:rsidRDefault="008D32F1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1E2ABC47" w14:textId="6B251911" w:rsidR="004E10E3" w:rsidRDefault="008D32F1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Merge/>
          </w:tcPr>
          <w:p w14:paraId="6885AEBB" w14:textId="77777777" w:rsidR="004E10E3" w:rsidRDefault="004E10E3" w:rsidP="001E59A6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E10E3" w14:paraId="4368E50A" w14:textId="77777777" w:rsidTr="00A908AB">
        <w:tc>
          <w:tcPr>
            <w:tcW w:w="846" w:type="dxa"/>
          </w:tcPr>
          <w:p w14:paraId="21DBF853" w14:textId="77777777" w:rsidR="004E10E3" w:rsidRDefault="004E10E3" w:rsidP="001E59A6">
            <w:pPr>
              <w:spacing w:line="48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ED24320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智能工程学院</w:t>
            </w:r>
          </w:p>
        </w:tc>
        <w:tc>
          <w:tcPr>
            <w:tcW w:w="2239" w:type="dxa"/>
          </w:tcPr>
          <w:p w14:paraId="3365D43B" w14:textId="2FC003F8" w:rsidR="004E10E3" w:rsidRDefault="003F35E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14:paraId="648B9859" w14:textId="3F895D83" w:rsidR="004E10E3" w:rsidRDefault="003F35E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  <w:vMerge/>
          </w:tcPr>
          <w:p w14:paraId="5A608205" w14:textId="77777777" w:rsidR="004E10E3" w:rsidRDefault="004E10E3" w:rsidP="001E59A6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E10E3" w14:paraId="4E1E577C" w14:textId="77777777" w:rsidTr="00A908AB">
        <w:tc>
          <w:tcPr>
            <w:tcW w:w="846" w:type="dxa"/>
          </w:tcPr>
          <w:p w14:paraId="2A2787B3" w14:textId="77777777" w:rsidR="004E10E3" w:rsidRDefault="004E10E3" w:rsidP="001E59A6">
            <w:pPr>
              <w:spacing w:line="48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498DBA6A" w14:textId="77777777" w:rsidR="004E10E3" w:rsidRDefault="004E10E3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通信与信息工程学院</w:t>
            </w:r>
          </w:p>
        </w:tc>
        <w:tc>
          <w:tcPr>
            <w:tcW w:w="2239" w:type="dxa"/>
          </w:tcPr>
          <w:p w14:paraId="5D354CEC" w14:textId="338E6623" w:rsidR="004E10E3" w:rsidRDefault="00A908A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14:paraId="60D4E076" w14:textId="76DA4B33" w:rsidR="004E10E3" w:rsidRDefault="003F35EB" w:rsidP="001E59A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418" w:type="dxa"/>
            <w:vMerge/>
          </w:tcPr>
          <w:p w14:paraId="61B3E9D4" w14:textId="77777777" w:rsidR="004E10E3" w:rsidRDefault="004E10E3" w:rsidP="001E59A6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61AB03D4" w14:textId="2141A57A" w:rsidR="003F35EB" w:rsidRPr="00BB45CA" w:rsidRDefault="003F35EB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3F35EB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注：以上人员情况根据前期各学院上报的异科导师带毕业生人数、晋</w:t>
      </w:r>
      <w:r w:rsidRPr="003F35EB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升、离职等人员情况统计得出</w:t>
      </w:r>
      <w:r w:rsidR="00F94F3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，如后期优化时人数还有变动，请各学院根据实际人</w:t>
      </w:r>
      <w:r w:rsidR="000504D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数按比例</w:t>
      </w:r>
      <w:r w:rsidR="00F94F3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进行。</w:t>
      </w:r>
    </w:p>
    <w:p w14:paraId="7D0F1858" w14:textId="08D052EA" w:rsidR="004E10E3" w:rsidRPr="00C8389B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</w:t>
      </w:r>
      <w:r w:rsidR="005779B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三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）</w:t>
      </w:r>
      <w:r w:rsidRPr="00C8389B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明确聘期、建立淘汰机制</w:t>
      </w:r>
    </w:p>
    <w:p w14:paraId="4725E22D" w14:textId="77777777" w:rsidR="004E10E3" w:rsidRPr="002A2814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2A281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1.聘期管理</w:t>
      </w:r>
    </w:p>
    <w:p w14:paraId="1362BC15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 xml:space="preserve">做好全生异科导师聘期内的管理，全生异科导师的聘期原则上与所带学生的学制保持一致。但每学年异科导师成绩考核不足60分以下者当学年提前解聘，两年内不再重聘。 </w:t>
      </w:r>
    </w:p>
    <w:p w14:paraId="4DD61C0A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个人年度绩效考核成绩排名不在本单位前80%的，由原单位向异科导师综合管理办公室提交异科导师优化调整申请，由学院及异科导师办公室综合审核后决定是否解聘。若解聘，两年内不再重聘。</w:t>
      </w:r>
    </w:p>
    <w:p w14:paraId="29FE7E21" w14:textId="77777777" w:rsidR="004E10E3" w:rsidRPr="006751F4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2.淘汰机制</w:t>
      </w:r>
    </w:p>
    <w:p w14:paraId="2339914E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淘汰标准：严格淘汰机制，除上述学年考核成绩在60分以下者予以淘汰外，对存在以下“不认真履职行为”的，也根据相关规则时时淘汰。</w:t>
      </w:r>
    </w:p>
    <w:p w14:paraId="72882497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存在以下“不认真履职行为”①、②的，则在当月予以淘汰；学期内存在以下“不认真履职行为”①、②以外的其它行为中的1条两次或所有类别中累计2条的，则在当月予以淘汰。淘汰的导师两年内不再重聘。“不认真履职行为”主要包括以下内容：</w:t>
      </w:r>
    </w:p>
    <w:p w14:paraId="6BF0AB17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①在与学生互动、进书院等基础数据和行为中作假，比如虚假签到、摆拍照片、未真实发生师生互动行为经确认属实的；</w:t>
      </w:r>
    </w:p>
    <w:p w14:paraId="0AE0837A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②有违师德师风并经核实属实的；</w:t>
      </w:r>
    </w:p>
    <w:p w14:paraId="62208502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③以月度为周期开展“周监控统计表”结果分析，发现当月有1/4周次未完成进书院与学生互动的；</w:t>
      </w:r>
    </w:p>
    <w:p w14:paraId="149B8595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④在学校组织的全生异科导师制工作座谈会（学生场）随机抽样调查中发现1个月及以上未与每一名学生线下见面并经核实属实的；</w:t>
      </w:r>
    </w:p>
    <w:p w14:paraId="2D604F2A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⑤在每月随机抽取的学生成长档案记录中，发现虚假填写、不认真及</w:t>
      </w:r>
      <w:r w:rsidRPr="006751F4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客观记录学生成长的；</w:t>
      </w:r>
    </w:p>
    <w:p w14:paraId="62C9D446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⑥在学校全生异科导师制工作座谈会（教师场）的随机抽样调查问答中（问卷围绕学生基本情况如姓名、学院、书院、籍贯、主要学习生活情况等），有两项及以上回答错误者；</w:t>
      </w:r>
    </w:p>
    <w:p w14:paraId="73E16F59" w14:textId="77777777" w:rsidR="004E10E3" w:rsidRPr="006751F4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6751F4">
        <w:rPr>
          <w:rFonts w:ascii="仿宋" w:eastAsia="仿宋" w:hAnsi="仿宋" w:cs="仿宋" w:hint="eastAsia"/>
          <w:kern w:val="0"/>
          <w:sz w:val="28"/>
          <w:szCs w:val="28"/>
        </w:rPr>
        <w:t>⑦其它有不认真履职行为并经查实的。</w:t>
      </w:r>
    </w:p>
    <w:p w14:paraId="2A799515" w14:textId="7619BA55" w:rsidR="004E10E3" w:rsidRPr="00C8389B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C8389B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</w:t>
      </w:r>
      <w:r w:rsidR="005779B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四</w:t>
      </w:r>
      <w:r w:rsidRPr="00C8389B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）优化考核、注重过程评价</w:t>
      </w:r>
    </w:p>
    <w:p w14:paraId="155901E6" w14:textId="77777777" w:rsidR="004E10E3" w:rsidRPr="00F96892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F96892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1.指标修正</w:t>
      </w:r>
    </w:p>
    <w:p w14:paraId="12AAA209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2025年秋季学期开始，进一步修订全生异科导师学年评价考核指标体系，提高学生评价的分数权重。</w:t>
      </w:r>
    </w:p>
    <w:p w14:paraId="3716DFB4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在确保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导师工作基本导向的基础上，进一步突出师生互动的频率和质量、分享交流会的效果和反馈、学生对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导师工作的满意度、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导师在学生成长问题上的解决能力、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导师在创新和工作成效方面的表现。</w:t>
      </w:r>
    </w:p>
    <w:p w14:paraId="0390CB38" w14:textId="77777777" w:rsidR="004E10E3" w:rsidRPr="00F96892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F96892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2.过程监控</w:t>
      </w:r>
    </w:p>
    <w:p w14:paraId="64D0DA1D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定期检查：每月收取工作材料，对书院空间的预约使用情况进行抽查，确保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导师按计划开展工作。</w:t>
      </w:r>
    </w:p>
    <w:p w14:paraId="3B4C8245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数据抓取：每周抓取师生互动数据，统计师生互动情况并在学校OA进行公布，及时发现问题并进行调整、应用。</w:t>
      </w:r>
    </w:p>
    <w:p w14:paraId="012E74F3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座谈调研会：学校定期召开全生异科导师制教师场、学生场座谈交流会，面对面了解师生诉求及意见、建议。指导学生客观填写问卷情况，并将结果次日公布在学校OA，对不合理、不认真情况及时反馈、运用。</w:t>
      </w:r>
    </w:p>
    <w:p w14:paraId="6E49469F" w14:textId="77777777" w:rsidR="004E10E3" w:rsidRPr="00F96892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F96892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3.结果应用</w:t>
      </w:r>
    </w:p>
    <w:p w14:paraId="0C273262" w14:textId="77777777" w:rsidR="004E10E3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根据过程监控情况及时反馈、兑现当月</w:t>
      </w:r>
      <w:r>
        <w:rPr>
          <w:rFonts w:ascii="仿宋" w:eastAsia="仿宋" w:hAnsi="仿宋" w:cs="仿宋" w:hint="eastAsia"/>
          <w:kern w:val="0"/>
          <w:sz w:val="28"/>
          <w:szCs w:val="28"/>
        </w:rPr>
        <w:t>异科</w:t>
      </w: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导师淘汰安排。每月留存30%绩效发放、优秀全生异科导师评选政策不变。</w:t>
      </w:r>
    </w:p>
    <w:p w14:paraId="4F2B3581" w14:textId="77777777" w:rsidR="004E10E3" w:rsidRPr="00840119" w:rsidRDefault="004E10E3" w:rsidP="004E10E3">
      <w:pPr>
        <w:spacing w:line="500" w:lineRule="exact"/>
        <w:ind w:firstLineChars="200" w:firstLine="560"/>
        <w:rPr>
          <w:rFonts w:ascii="黑体" w:eastAsia="黑体" w:hAnsi="黑体" w:hint="eastAsia"/>
          <w:sz w:val="28"/>
          <w:szCs w:val="32"/>
        </w:rPr>
      </w:pPr>
      <w:r w:rsidRPr="00840119">
        <w:rPr>
          <w:rFonts w:ascii="黑体" w:eastAsia="黑体" w:hAnsi="黑体" w:hint="eastAsia"/>
          <w:sz w:val="28"/>
          <w:szCs w:val="32"/>
        </w:rPr>
        <w:t>三、执行说明</w:t>
      </w:r>
    </w:p>
    <w:p w14:paraId="47B0704D" w14:textId="77777777" w:rsidR="004E10E3" w:rsidRDefault="004E10E3" w:rsidP="004E10E3">
      <w:pPr>
        <w:spacing w:line="500" w:lineRule="exact"/>
        <w:ind w:firstLineChars="200" w:firstLine="562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lastRenderedPageBreak/>
        <w:t>（一）优化</w:t>
      </w:r>
      <w:r>
        <w:rPr>
          <w:rFonts w:ascii="仿宋" w:eastAsia="仿宋" w:hAnsi="仿宋"/>
          <w:b/>
          <w:bCs/>
          <w:sz w:val="28"/>
          <w:szCs w:val="32"/>
        </w:rPr>
        <w:t>流程</w:t>
      </w:r>
    </w:p>
    <w:p w14:paraId="56D11D07" w14:textId="77777777" w:rsidR="004E10E3" w:rsidRDefault="004E10E3" w:rsidP="004E10E3">
      <w:pPr>
        <w:spacing w:line="50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1.各学院依据异科导师年度考核排名，按上述比例确定淘汰名单；</w:t>
      </w:r>
    </w:p>
    <w:p w14:paraId="2F537454" w14:textId="2EC001F0" w:rsidR="004E10E3" w:rsidRDefault="004E10E3" w:rsidP="004E10E3">
      <w:pPr>
        <w:spacing w:line="50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2.涉及直接解聘、晋升、离职等导师，要占用淘汰名额，不单独处理。</w:t>
      </w:r>
    </w:p>
    <w:p w14:paraId="2FA28BBD" w14:textId="77777777" w:rsidR="004E10E3" w:rsidRDefault="004E10E3" w:rsidP="004E10E3">
      <w:pPr>
        <w:spacing w:line="500" w:lineRule="exact"/>
        <w:ind w:firstLineChars="200" w:firstLine="562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（二）</w:t>
      </w:r>
      <w:r>
        <w:rPr>
          <w:rFonts w:ascii="仿宋" w:eastAsia="仿宋" w:hAnsi="仿宋"/>
          <w:b/>
          <w:bCs/>
          <w:sz w:val="28"/>
          <w:szCs w:val="32"/>
        </w:rPr>
        <w:t>申诉机制</w:t>
      </w:r>
    </w:p>
    <w:p w14:paraId="09D7A79B" w14:textId="77777777" w:rsidR="004E10E3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对淘汰结果有异议的异科导师，可提交书面说明，由学院复核后提交学校全生异科导师工作领导小组最终裁定。</w:t>
      </w:r>
    </w:p>
    <w:p w14:paraId="3145A5E6" w14:textId="77777777" w:rsidR="004E10E3" w:rsidRDefault="004E10E3" w:rsidP="004E10E3">
      <w:pPr>
        <w:spacing w:line="50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（三）</w:t>
      </w:r>
      <w:r>
        <w:rPr>
          <w:rFonts w:ascii="仿宋" w:eastAsia="仿宋" w:hAnsi="仿宋"/>
          <w:b/>
          <w:bCs/>
          <w:sz w:val="28"/>
          <w:szCs w:val="32"/>
        </w:rPr>
        <w:t>补充招募</w:t>
      </w:r>
    </w:p>
    <w:p w14:paraId="57FA320F" w14:textId="77777777" w:rsidR="004E10E3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若淘汰后异科导师仍不足，将启动新一轮招募，确保师生比达标。</w:t>
      </w:r>
    </w:p>
    <w:p w14:paraId="345F4A8F" w14:textId="77777777" w:rsidR="004E10E3" w:rsidRPr="00E20D88" w:rsidRDefault="004E10E3" w:rsidP="004E10E3">
      <w:pPr>
        <w:spacing w:line="520" w:lineRule="exact"/>
        <w:ind w:firstLineChars="200" w:firstLine="560"/>
        <w:rPr>
          <w:rFonts w:ascii="黑体" w:eastAsia="黑体" w:hAnsi="黑体" w:cs="仿宋" w:hint="eastAsia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28"/>
          <w:szCs w:val="28"/>
        </w:rPr>
        <w:t>四</w:t>
      </w:r>
      <w:r w:rsidRPr="00E20D88">
        <w:rPr>
          <w:rFonts w:ascii="黑体" w:eastAsia="黑体" w:hAnsi="黑体" w:cs="仿宋" w:hint="eastAsia"/>
          <w:kern w:val="0"/>
          <w:sz w:val="28"/>
          <w:szCs w:val="28"/>
        </w:rPr>
        <w:t>、其他有关举措</w:t>
      </w:r>
    </w:p>
    <w:p w14:paraId="46BC1303" w14:textId="77777777" w:rsidR="004E10E3" w:rsidRPr="00E20D88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（一）</w:t>
      </w:r>
      <w:r w:rsidRPr="00E20D88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以“双导结构”提高学生体验感</w:t>
      </w:r>
    </w:p>
    <w:p w14:paraId="3832235F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2025届新生开始，全生异科导师所带学生原则上不超过1个辅导员所带学生范围，以便辅导员对接全生异科导师，实现“导员+异科”的导师管理结构，并赋予辅导员帮助、敦促异科工作的职能。</w:t>
      </w:r>
    </w:p>
    <w:p w14:paraId="7683BFB6" w14:textId="77777777" w:rsidR="004E10E3" w:rsidRPr="00E20D88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E20D88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（二）以“职能指导”提高导师效能感</w:t>
      </w:r>
    </w:p>
    <w:p w14:paraId="375E9EE8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增加双院融合岗对全生异科导师的牵头推动功能。赋予辅导员对所带学生的全生异科导师考核权重，以落实全生异科导师全面了解学生、精准服务学生，促进全生异科导师在学院和书院的协同互动。</w:t>
      </w:r>
    </w:p>
    <w:p w14:paraId="4402F270" w14:textId="77777777" w:rsidR="004E10E3" w:rsidRPr="00E20D88" w:rsidRDefault="004E10E3" w:rsidP="004E10E3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bCs/>
          <w:kern w:val="0"/>
          <w:sz w:val="28"/>
          <w:szCs w:val="28"/>
        </w:rPr>
      </w:pPr>
      <w:r w:rsidRPr="00E20D88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（三）以“异科系统”提升管理有效度</w:t>
      </w:r>
    </w:p>
    <w:p w14:paraId="401B8974" w14:textId="77777777" w:rsidR="004E10E3" w:rsidRPr="00067AD5" w:rsidRDefault="004E10E3" w:rsidP="004E10E3">
      <w:pPr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067AD5">
        <w:rPr>
          <w:rFonts w:ascii="仿宋" w:eastAsia="仿宋" w:hAnsi="仿宋" w:cs="仿宋" w:hint="eastAsia"/>
          <w:kern w:val="0"/>
          <w:sz w:val="28"/>
          <w:szCs w:val="28"/>
        </w:rPr>
        <w:t>拟于今年10月份上线全生异科导师系统，系统解决“进书院”“异科项目化管理”“深度互动”等实际工作，并在异科导师计划、聘任、考核、评价等维度实现过程化管理。</w:t>
      </w:r>
    </w:p>
    <w:p w14:paraId="7B750E04" w14:textId="77777777" w:rsidR="004E10E3" w:rsidRDefault="004E10E3" w:rsidP="004E10E3">
      <w:pPr>
        <w:spacing w:line="560" w:lineRule="atLeast"/>
        <w:ind w:firstLineChars="200" w:firstLine="640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五、注意事项</w:t>
      </w:r>
    </w:p>
    <w:p w14:paraId="54A7985A" w14:textId="77777777" w:rsidR="004E10E3" w:rsidRPr="00E20D88" w:rsidRDefault="004E10E3" w:rsidP="004E10E3">
      <w:pPr>
        <w:spacing w:line="560" w:lineRule="atLeas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E20D88">
        <w:rPr>
          <w:rFonts w:ascii="仿宋" w:eastAsia="仿宋" w:hAnsi="仿宋" w:cs="仿宋" w:hint="eastAsia"/>
          <w:kern w:val="0"/>
          <w:sz w:val="28"/>
          <w:szCs w:val="28"/>
        </w:rPr>
        <w:t>学校以往印发的全生异科导师制有关工作方案和通知，相关内容、政策和举措与本通知不一致的，以本通知为准。本通知相关举措由学校全生</w:t>
      </w:r>
      <w:r w:rsidRPr="00E20D88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异科导师制工作领导小组办公室负责解释。</w:t>
      </w:r>
    </w:p>
    <w:p w14:paraId="3C8C99ED" w14:textId="77777777" w:rsidR="004E10E3" w:rsidRPr="00E20D88" w:rsidRDefault="004E10E3" w:rsidP="004E10E3">
      <w:pPr>
        <w:spacing w:line="56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</w:p>
    <w:p w14:paraId="78F9DBC8" w14:textId="77777777" w:rsidR="004E10E3" w:rsidRDefault="004E10E3" w:rsidP="004E10E3">
      <w:pPr>
        <w:spacing w:line="560" w:lineRule="exact"/>
        <w:ind w:firstLineChars="200" w:firstLine="568"/>
        <w:rPr>
          <w:rFonts w:ascii="仿宋" w:eastAsia="仿宋" w:hAnsi="仿宋" w:cs="仿宋_GB2312" w:hint="eastAsia"/>
          <w:spacing w:val="2"/>
          <w:sz w:val="28"/>
          <w:szCs w:val="28"/>
          <w:shd w:val="clear" w:color="auto" w:fill="FFFFFF"/>
        </w:rPr>
      </w:pPr>
    </w:p>
    <w:p w14:paraId="24717AD3" w14:textId="77777777" w:rsidR="004E10E3" w:rsidRDefault="004E10E3" w:rsidP="004E10E3">
      <w:pPr>
        <w:spacing w:line="560" w:lineRule="exact"/>
        <w:ind w:firstLineChars="200" w:firstLine="568"/>
        <w:rPr>
          <w:rFonts w:ascii="仿宋" w:eastAsia="仿宋" w:hAnsi="仿宋" w:cs="仿宋_GB2312" w:hint="eastAsia"/>
          <w:spacing w:val="2"/>
          <w:sz w:val="28"/>
          <w:szCs w:val="28"/>
          <w:shd w:val="clear" w:color="auto" w:fill="FFFFFF"/>
        </w:rPr>
      </w:pPr>
    </w:p>
    <w:p w14:paraId="3081AB2C" w14:textId="77777777" w:rsidR="004E10E3" w:rsidRPr="00E20D88" w:rsidRDefault="004E10E3" w:rsidP="004E10E3">
      <w:pPr>
        <w:spacing w:line="560" w:lineRule="atLeast"/>
        <w:ind w:firstLineChars="200" w:firstLine="560"/>
        <w:jc w:val="right"/>
        <w:rPr>
          <w:rFonts w:ascii="仿宋" w:eastAsia="仿宋" w:hAnsi="仿宋" w:cs="仿宋" w:hint="eastAsia"/>
          <w:kern w:val="0"/>
          <w:sz w:val="28"/>
          <w:szCs w:val="28"/>
        </w:rPr>
      </w:pPr>
      <w:r w:rsidRPr="00E20D88">
        <w:rPr>
          <w:rFonts w:ascii="仿宋" w:eastAsia="仿宋" w:hAnsi="仿宋" w:cs="仿宋" w:hint="eastAsia"/>
          <w:kern w:val="0"/>
          <w:sz w:val="28"/>
          <w:szCs w:val="28"/>
        </w:rPr>
        <w:t>全生异科导师制工作领导小组办公室</w:t>
      </w:r>
    </w:p>
    <w:p w14:paraId="79908B80" w14:textId="77777777" w:rsidR="004E10E3" w:rsidRPr="00E20D88" w:rsidRDefault="004E10E3" w:rsidP="004E10E3">
      <w:pPr>
        <w:spacing w:line="560" w:lineRule="atLeast"/>
        <w:ind w:firstLineChars="200" w:firstLine="560"/>
        <w:jc w:val="center"/>
        <w:rPr>
          <w:rFonts w:ascii="仿宋" w:eastAsia="仿宋" w:hAnsi="仿宋" w:cs="仿宋" w:hint="eastAsia"/>
          <w:kern w:val="0"/>
          <w:sz w:val="28"/>
          <w:szCs w:val="28"/>
        </w:rPr>
      </w:pPr>
      <w:r w:rsidRPr="00E20D88"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</w:t>
      </w:r>
      <w:r w:rsidRPr="00E20D88">
        <w:rPr>
          <w:rFonts w:ascii="仿宋" w:eastAsia="仿宋" w:hAnsi="仿宋" w:cs="仿宋" w:hint="eastAsia"/>
          <w:kern w:val="0"/>
          <w:sz w:val="28"/>
          <w:szCs w:val="28"/>
        </w:rPr>
        <w:t>(书院部 代章)</w:t>
      </w:r>
    </w:p>
    <w:p w14:paraId="3944A982" w14:textId="237F2E55" w:rsidR="004E10E3" w:rsidRPr="00FB14EB" w:rsidRDefault="004E10E3" w:rsidP="004E10E3">
      <w:pPr>
        <w:spacing w:line="560" w:lineRule="exact"/>
        <w:ind w:firstLineChars="2000" w:firstLine="5680"/>
        <w:rPr>
          <w:rFonts w:ascii="仿宋" w:eastAsia="仿宋" w:hAnsi="仿宋" w:cs="仿宋_GB2312" w:hint="eastAsia"/>
          <w:spacing w:val="2"/>
          <w:sz w:val="28"/>
          <w:szCs w:val="28"/>
          <w:shd w:val="clear" w:color="auto" w:fill="FFFFFF"/>
        </w:rPr>
      </w:pPr>
      <w:r w:rsidRPr="00FB14EB">
        <w:rPr>
          <w:rFonts w:ascii="仿宋" w:eastAsia="仿宋" w:hAnsi="仿宋" w:cs="仿宋_GB2312" w:hint="eastAsia"/>
          <w:spacing w:val="2"/>
          <w:sz w:val="28"/>
          <w:szCs w:val="28"/>
          <w:shd w:val="clear" w:color="auto" w:fill="FFFFFF"/>
        </w:rPr>
        <w:t>2025年7月</w:t>
      </w:r>
      <w:r>
        <w:rPr>
          <w:rFonts w:ascii="仿宋" w:eastAsia="仿宋" w:hAnsi="仿宋" w:cs="仿宋_GB2312" w:hint="eastAsia"/>
          <w:spacing w:val="2"/>
          <w:sz w:val="28"/>
          <w:szCs w:val="28"/>
          <w:shd w:val="clear" w:color="auto" w:fill="FFFFFF"/>
        </w:rPr>
        <w:t>2</w:t>
      </w:r>
      <w:r w:rsidR="004465C3">
        <w:rPr>
          <w:rFonts w:ascii="仿宋" w:eastAsia="仿宋" w:hAnsi="仿宋" w:cs="仿宋_GB2312" w:hint="eastAsia"/>
          <w:spacing w:val="2"/>
          <w:sz w:val="28"/>
          <w:szCs w:val="28"/>
          <w:shd w:val="clear" w:color="auto" w:fill="FFFFFF"/>
        </w:rPr>
        <w:t>9</w:t>
      </w:r>
      <w:r w:rsidRPr="00FB14EB">
        <w:rPr>
          <w:rFonts w:ascii="仿宋" w:eastAsia="仿宋" w:hAnsi="仿宋" w:cs="仿宋_GB2312" w:hint="eastAsia"/>
          <w:spacing w:val="2"/>
          <w:sz w:val="28"/>
          <w:szCs w:val="28"/>
          <w:shd w:val="clear" w:color="auto" w:fill="FFFFFF"/>
        </w:rPr>
        <w:t>日</w:t>
      </w:r>
    </w:p>
    <w:p w14:paraId="1A27AB62" w14:textId="77777777" w:rsidR="004E10E3" w:rsidRPr="00FB14EB" w:rsidRDefault="004E10E3" w:rsidP="004E10E3">
      <w:pPr>
        <w:spacing w:line="560" w:lineRule="exact"/>
        <w:ind w:firstLineChars="200" w:firstLine="568"/>
        <w:rPr>
          <w:rFonts w:ascii="仿宋" w:eastAsia="仿宋" w:hAnsi="仿宋" w:cs="仿宋_GB2312" w:hint="eastAsia"/>
          <w:spacing w:val="2"/>
          <w:sz w:val="28"/>
          <w:szCs w:val="28"/>
          <w:shd w:val="clear" w:color="auto" w:fill="FFFFFF"/>
        </w:rPr>
      </w:pPr>
    </w:p>
    <w:p w14:paraId="345A4E46" w14:textId="77777777" w:rsidR="005B5CFC" w:rsidRDefault="005B5CFC">
      <w:pPr>
        <w:rPr>
          <w:rFonts w:hint="eastAsia"/>
        </w:rPr>
      </w:pPr>
    </w:p>
    <w:sectPr w:rsidR="005B5CFC" w:rsidSect="004E10E3">
      <w:footerReference w:type="default" r:id="rId6"/>
      <w:pgSz w:w="11906" w:h="16838"/>
      <w:pgMar w:top="1928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2A09" w14:textId="77777777" w:rsidR="001A51A7" w:rsidRDefault="001A51A7" w:rsidP="004E10E3">
      <w:pPr>
        <w:rPr>
          <w:rFonts w:hint="eastAsia"/>
        </w:rPr>
      </w:pPr>
      <w:r>
        <w:separator/>
      </w:r>
    </w:p>
  </w:endnote>
  <w:endnote w:type="continuationSeparator" w:id="0">
    <w:p w14:paraId="659C6D41" w14:textId="77777777" w:rsidR="001A51A7" w:rsidRDefault="001A51A7" w:rsidP="004E10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BE45" w14:textId="77777777" w:rsidR="004E10E3" w:rsidRDefault="004E10E3">
    <w:pPr>
      <w:pStyle w:val="af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3C2D8" wp14:editId="6D669F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68931" w14:textId="77777777" w:rsidR="004E10E3" w:rsidRDefault="004E10E3">
                          <w:pPr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3C2D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E68931" w14:textId="77777777" w:rsidR="004E10E3" w:rsidRDefault="004E10E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2F25" w14:textId="77777777" w:rsidR="001A51A7" w:rsidRDefault="001A51A7" w:rsidP="004E10E3">
      <w:pPr>
        <w:rPr>
          <w:rFonts w:hint="eastAsia"/>
        </w:rPr>
      </w:pPr>
      <w:r>
        <w:separator/>
      </w:r>
    </w:p>
  </w:footnote>
  <w:footnote w:type="continuationSeparator" w:id="0">
    <w:p w14:paraId="5CB1E507" w14:textId="77777777" w:rsidR="001A51A7" w:rsidRDefault="001A51A7" w:rsidP="004E10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85"/>
    <w:rsid w:val="00024577"/>
    <w:rsid w:val="000504DD"/>
    <w:rsid w:val="00070D5B"/>
    <w:rsid w:val="00092FFF"/>
    <w:rsid w:val="000C5DB2"/>
    <w:rsid w:val="000F6D3B"/>
    <w:rsid w:val="001A51A7"/>
    <w:rsid w:val="002271B0"/>
    <w:rsid w:val="00387AA8"/>
    <w:rsid w:val="003F35EB"/>
    <w:rsid w:val="004465C3"/>
    <w:rsid w:val="004E10E3"/>
    <w:rsid w:val="005779BF"/>
    <w:rsid w:val="005B5CFC"/>
    <w:rsid w:val="00613D74"/>
    <w:rsid w:val="00796285"/>
    <w:rsid w:val="007D7F75"/>
    <w:rsid w:val="008D32F1"/>
    <w:rsid w:val="0092174D"/>
    <w:rsid w:val="00A00E01"/>
    <w:rsid w:val="00A608DE"/>
    <w:rsid w:val="00A908AB"/>
    <w:rsid w:val="00BB45CA"/>
    <w:rsid w:val="00BF4DB0"/>
    <w:rsid w:val="00D21638"/>
    <w:rsid w:val="00D747B4"/>
    <w:rsid w:val="00E27A44"/>
    <w:rsid w:val="00E8497E"/>
    <w:rsid w:val="00ED0EA2"/>
    <w:rsid w:val="00F94F3E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D2A65"/>
  <w15:chartTrackingRefBased/>
  <w15:docId w15:val="{232A5CAF-7236-47D6-8649-F56A49C4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E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96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2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8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8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2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2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2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62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2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28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96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28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7962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962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62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10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10E3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4E1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4E10E3"/>
    <w:rPr>
      <w:sz w:val="18"/>
      <w:szCs w:val="18"/>
    </w:rPr>
  </w:style>
  <w:style w:type="character" w:styleId="af2">
    <w:name w:val="Hyperlink"/>
    <w:basedOn w:val="a0"/>
    <w:autoRedefine/>
    <w:qFormat/>
    <w:rsid w:val="004E10E3"/>
    <w:rPr>
      <w:color w:val="333333"/>
      <w:u w:val="none"/>
    </w:rPr>
  </w:style>
  <w:style w:type="table" w:styleId="af3">
    <w:name w:val="Table Grid"/>
    <w:basedOn w:val="a1"/>
    <w:autoRedefine/>
    <w:qFormat/>
    <w:rsid w:val="004E10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387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青河 余</dc:creator>
  <cp:keywords/>
  <dc:description/>
  <cp:lastModifiedBy>青河 余</cp:lastModifiedBy>
  <cp:revision>20</cp:revision>
  <dcterms:created xsi:type="dcterms:W3CDTF">2025-07-27T04:13:00Z</dcterms:created>
  <dcterms:modified xsi:type="dcterms:W3CDTF">2025-07-29T16:14:00Z</dcterms:modified>
</cp:coreProperties>
</file>